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34A9F" w14:textId="77777777" w:rsidR="001F23CE" w:rsidRDefault="001F23CE">
      <w:pPr>
        <w:jc w:val="center"/>
        <w:rPr>
          <w:b/>
          <w:u w:val="single"/>
          <w:lang w:val="nl-NL"/>
        </w:rPr>
      </w:pPr>
    </w:p>
    <w:p w14:paraId="7852960B" w14:textId="77777777" w:rsidR="001F23CE" w:rsidRDefault="001F23CE">
      <w:pPr>
        <w:jc w:val="center"/>
        <w:rPr>
          <w:b/>
          <w:u w:val="single"/>
          <w:lang w:val="nl-NL"/>
        </w:rPr>
      </w:pPr>
    </w:p>
    <w:p w14:paraId="13530D93" w14:textId="77777777" w:rsidR="00BA494B" w:rsidRPr="00154DF6" w:rsidRDefault="001F23CE">
      <w:pPr>
        <w:jc w:val="center"/>
        <w:rPr>
          <w:rFonts w:asciiTheme="minorHAnsi" w:hAnsiTheme="minorHAnsi"/>
          <w:b/>
          <w:u w:val="single"/>
          <w:lang w:val="nl-NL"/>
        </w:rPr>
      </w:pPr>
      <w:r w:rsidRPr="00154DF6">
        <w:rPr>
          <w:rFonts w:asciiTheme="minorHAnsi" w:hAnsiTheme="minorHAnsi"/>
          <w:b/>
          <w:u w:val="single"/>
          <w:lang w:val="nl-NL"/>
        </w:rPr>
        <w:t xml:space="preserve">CHECKLIST JAARREKENING </w:t>
      </w:r>
      <w:r w:rsidR="00BA494B" w:rsidRPr="00154DF6">
        <w:rPr>
          <w:rFonts w:asciiTheme="minorHAnsi" w:hAnsiTheme="minorHAnsi"/>
          <w:b/>
          <w:u w:val="single"/>
          <w:lang w:val="nl-NL"/>
        </w:rPr>
        <w:t xml:space="preserve">AANVULLENDE </w:t>
      </w:r>
      <w:r w:rsidRPr="00154DF6">
        <w:rPr>
          <w:rFonts w:asciiTheme="minorHAnsi" w:hAnsiTheme="minorHAnsi"/>
          <w:b/>
          <w:u w:val="single"/>
          <w:lang w:val="nl-NL"/>
        </w:rPr>
        <w:t>VERZEKERING</w:t>
      </w:r>
      <w:r w:rsidR="00A74CED" w:rsidRPr="00154DF6">
        <w:rPr>
          <w:rFonts w:asciiTheme="minorHAnsi" w:hAnsiTheme="minorHAnsi"/>
          <w:b/>
          <w:u w:val="single"/>
          <w:lang w:val="nl-NL"/>
        </w:rPr>
        <w:t xml:space="preserve"> (AV)</w:t>
      </w:r>
    </w:p>
    <w:p w14:paraId="743C7154" w14:textId="77777777" w:rsidR="001F23CE" w:rsidRPr="00154DF6" w:rsidRDefault="00857301">
      <w:pPr>
        <w:jc w:val="center"/>
        <w:rPr>
          <w:rFonts w:asciiTheme="minorHAnsi" w:hAnsiTheme="minorHAnsi"/>
          <w:b/>
          <w:lang w:val="nl-NL"/>
        </w:rPr>
      </w:pPr>
      <w:r w:rsidRPr="00154DF6">
        <w:rPr>
          <w:rFonts w:asciiTheme="minorHAnsi" w:hAnsiTheme="minorHAnsi"/>
          <w:b/>
          <w:u w:val="single"/>
          <w:lang w:val="nl-NL"/>
        </w:rPr>
        <w:t>EN STATISTIEKEN</w:t>
      </w:r>
    </w:p>
    <w:p w14:paraId="4DD494CF" w14:textId="77777777" w:rsidR="001F23CE" w:rsidRPr="00154DF6" w:rsidRDefault="001F23CE">
      <w:pPr>
        <w:rPr>
          <w:rFonts w:asciiTheme="minorHAnsi" w:hAnsiTheme="minorHAnsi"/>
          <w:lang w:val="nl-NL"/>
        </w:rPr>
      </w:pPr>
    </w:p>
    <w:p w14:paraId="6F5D9540" w14:textId="77777777" w:rsidR="00EB42BA" w:rsidRPr="00154DF6" w:rsidRDefault="00EB42BA">
      <w:pPr>
        <w:rPr>
          <w:rFonts w:asciiTheme="minorHAnsi" w:hAnsiTheme="minorHAnsi"/>
          <w:lang w:val="nl-NL"/>
        </w:rPr>
      </w:pPr>
      <w:r w:rsidRPr="00154DF6">
        <w:rPr>
          <w:rFonts w:asciiTheme="minorHAnsi" w:hAnsiTheme="minorHAnsi"/>
          <w:lang w:val="nl-NL"/>
        </w:rPr>
        <w:t>Onderstaande checklist herneemt de punten die niet automatisch gecontroleerd worden door MutWeb</w:t>
      </w:r>
      <w:r w:rsidR="00E007C4" w:rsidRPr="00154DF6">
        <w:rPr>
          <w:rFonts w:asciiTheme="minorHAnsi" w:hAnsiTheme="minorHAnsi"/>
          <w:lang w:val="nl-NL"/>
        </w:rPr>
        <w:t xml:space="preserve"> via de functionaliteit ‘controleren’</w:t>
      </w:r>
      <w:r w:rsidR="005F334B" w:rsidRPr="00154DF6">
        <w:rPr>
          <w:rFonts w:asciiTheme="minorHAnsi" w:hAnsiTheme="minorHAnsi"/>
          <w:lang w:val="nl-NL"/>
        </w:rPr>
        <w:t xml:space="preserve"> alvorens te kunnen worden gevalideerd</w:t>
      </w:r>
      <w:r w:rsidRPr="00154DF6">
        <w:rPr>
          <w:rFonts w:asciiTheme="minorHAnsi" w:hAnsiTheme="minorHAnsi"/>
          <w:lang w:val="nl-NL"/>
        </w:rPr>
        <w:t>.</w:t>
      </w:r>
      <w:r w:rsidR="00E007C4" w:rsidRPr="00154DF6">
        <w:rPr>
          <w:rFonts w:asciiTheme="minorHAnsi" w:hAnsiTheme="minorHAnsi"/>
          <w:lang w:val="nl-NL"/>
        </w:rPr>
        <w:t xml:space="preserve"> Bij het onderzoek van de ontvangen bestanden </w:t>
      </w:r>
      <w:r w:rsidR="005F334B" w:rsidRPr="00154DF6">
        <w:rPr>
          <w:rFonts w:asciiTheme="minorHAnsi" w:hAnsiTheme="minorHAnsi"/>
          <w:lang w:val="nl-NL"/>
        </w:rPr>
        <w:t>baseert de Controledienst zich op deze lijst.</w:t>
      </w:r>
    </w:p>
    <w:p w14:paraId="7433A019" w14:textId="77777777" w:rsidR="00EB42BA" w:rsidRPr="00154DF6" w:rsidRDefault="00EB42BA">
      <w:pPr>
        <w:rPr>
          <w:rFonts w:asciiTheme="minorHAnsi" w:hAnsiTheme="minorHAnsi"/>
          <w:lang w:val="nl-NL"/>
        </w:rPr>
      </w:pPr>
    </w:p>
    <w:p w14:paraId="7B91D5FD" w14:textId="77777777" w:rsidR="001F23CE" w:rsidRPr="00154DF6" w:rsidRDefault="00EB42BA">
      <w:pPr>
        <w:rPr>
          <w:rFonts w:asciiTheme="minorHAnsi" w:hAnsiTheme="minorHAnsi"/>
          <w:b/>
          <w:u w:val="single"/>
          <w:lang w:val="nl-NL"/>
        </w:rPr>
      </w:pPr>
      <w:r w:rsidRPr="00154DF6">
        <w:rPr>
          <w:rFonts w:asciiTheme="minorHAnsi" w:hAnsiTheme="minorHAnsi"/>
          <w:b/>
          <w:u w:val="single"/>
          <w:lang w:val="nl-NL"/>
        </w:rPr>
        <w:t>Module jaarrekening AV</w:t>
      </w:r>
    </w:p>
    <w:p w14:paraId="24CB554E" w14:textId="77777777" w:rsidR="00EB42BA" w:rsidRPr="00154DF6" w:rsidRDefault="00EB42BA">
      <w:pPr>
        <w:rPr>
          <w:rFonts w:asciiTheme="minorHAnsi" w:hAnsiTheme="minorHAnsi"/>
          <w:lang w:val="nl-NL"/>
        </w:rPr>
      </w:pPr>
    </w:p>
    <w:p w14:paraId="279457B2" w14:textId="77777777" w:rsidR="004F2E37" w:rsidRPr="00154DF6" w:rsidRDefault="004F2E37" w:rsidP="004F2E37">
      <w:pPr>
        <w:numPr>
          <w:ilvl w:val="0"/>
          <w:numId w:val="2"/>
        </w:numPr>
        <w:spacing w:after="120"/>
        <w:rPr>
          <w:rFonts w:asciiTheme="minorHAnsi" w:hAnsiTheme="minorHAnsi"/>
          <w:lang w:val="nl-NL"/>
        </w:rPr>
      </w:pPr>
      <w:r w:rsidRPr="00154DF6">
        <w:rPr>
          <w:rFonts w:asciiTheme="minorHAnsi" w:hAnsiTheme="minorHAnsi"/>
          <w:lang w:val="nl-NL"/>
        </w:rPr>
        <w:t xml:space="preserve">De pagina's AV.12 (administratiekosten VP – dit geldt voor zowel de landsbonden als de ziekenfondsen), </w:t>
      </w:r>
      <w:r w:rsidR="001D7257" w:rsidRPr="00154DF6">
        <w:rPr>
          <w:rFonts w:asciiTheme="minorHAnsi" w:hAnsiTheme="minorHAnsi"/>
          <w:lang w:val="nl-NL"/>
        </w:rPr>
        <w:t>AVX.26</w:t>
      </w:r>
      <w:r w:rsidRPr="00154DF6">
        <w:rPr>
          <w:rFonts w:asciiTheme="minorHAnsi" w:hAnsiTheme="minorHAnsi"/>
          <w:lang w:val="nl-NL"/>
        </w:rPr>
        <w:t> (geïnde bijdragen VP en prestaties uitkeringen</w:t>
      </w:r>
      <w:r w:rsidR="001D7257" w:rsidRPr="00154DF6">
        <w:rPr>
          <w:rFonts w:asciiTheme="minorHAnsi" w:hAnsiTheme="minorHAnsi"/>
          <w:lang w:val="nl-NL"/>
        </w:rPr>
        <w:t xml:space="preserve"> VP</w:t>
      </w:r>
      <w:r w:rsidRPr="00154DF6">
        <w:rPr>
          <w:rFonts w:asciiTheme="minorHAnsi" w:hAnsiTheme="minorHAnsi"/>
          <w:lang w:val="nl-NL"/>
        </w:rPr>
        <w:t xml:space="preserve">) en </w:t>
      </w:r>
      <w:r w:rsidR="001D7257" w:rsidRPr="00154DF6">
        <w:rPr>
          <w:rFonts w:asciiTheme="minorHAnsi" w:hAnsiTheme="minorHAnsi"/>
          <w:lang w:val="nl-NL"/>
        </w:rPr>
        <w:t>AVX.27</w:t>
      </w:r>
      <w:r w:rsidRPr="00154DF6">
        <w:rPr>
          <w:rFonts w:asciiTheme="minorHAnsi" w:hAnsiTheme="minorHAnsi"/>
          <w:lang w:val="nl-NL"/>
        </w:rPr>
        <w:t xml:space="preserve"> (prestaties geneeskundige verzorging VP) zijn ingevuld (deze laatste twee zijn evenwel niet verplicht voor de landsbonden) alsook </w:t>
      </w:r>
      <w:r w:rsidR="001D7257" w:rsidRPr="00154DF6">
        <w:rPr>
          <w:rFonts w:asciiTheme="minorHAnsi" w:hAnsiTheme="minorHAnsi"/>
          <w:lang w:val="nl-NL"/>
        </w:rPr>
        <w:t>AV.19</w:t>
      </w:r>
      <w:r w:rsidRPr="00154DF6">
        <w:rPr>
          <w:rFonts w:asciiTheme="minorHAnsi" w:hAnsiTheme="minorHAnsi"/>
          <w:lang w:val="nl-NL"/>
        </w:rPr>
        <w:t> t/m </w:t>
      </w:r>
      <w:r w:rsidR="001D7257" w:rsidRPr="00154DF6">
        <w:rPr>
          <w:rFonts w:asciiTheme="minorHAnsi" w:hAnsiTheme="minorHAnsi"/>
          <w:lang w:val="nl-NL"/>
        </w:rPr>
        <w:t xml:space="preserve">AV.22 </w:t>
      </w:r>
      <w:r w:rsidRPr="00154DF6">
        <w:rPr>
          <w:rFonts w:asciiTheme="minorHAnsi" w:hAnsiTheme="minorHAnsi"/>
          <w:lang w:val="nl-NL"/>
        </w:rPr>
        <w:t>(sociale balans).</w:t>
      </w:r>
    </w:p>
    <w:p w14:paraId="00F510A6" w14:textId="77777777" w:rsidR="004F2E37" w:rsidRPr="00154DF6" w:rsidRDefault="004F2E37" w:rsidP="00775C26">
      <w:pPr>
        <w:numPr>
          <w:ilvl w:val="0"/>
          <w:numId w:val="2"/>
        </w:numPr>
        <w:spacing w:after="120"/>
        <w:ind w:left="357" w:hanging="357"/>
        <w:rPr>
          <w:rFonts w:asciiTheme="minorHAnsi" w:hAnsiTheme="minorHAnsi"/>
          <w:lang w:val="nl-NL"/>
        </w:rPr>
      </w:pPr>
      <w:r w:rsidRPr="00154DF6">
        <w:rPr>
          <w:rFonts w:asciiTheme="minorHAnsi" w:hAnsiTheme="minorHAnsi"/>
          <w:lang w:val="nl-NL"/>
        </w:rPr>
        <w:t xml:space="preserve">Voor het "Voorhuwelijkssparen" (code 56) worden voldoende technische voorzieningen aangelegd zoals door de CDZ werd berekend. </w:t>
      </w:r>
    </w:p>
    <w:p w14:paraId="548C60A2" w14:textId="77777777" w:rsidR="004F2E37" w:rsidRPr="00154DF6" w:rsidRDefault="004F2E37" w:rsidP="004F2E37">
      <w:pPr>
        <w:numPr>
          <w:ilvl w:val="0"/>
          <w:numId w:val="2"/>
        </w:numPr>
        <w:spacing w:after="120"/>
        <w:rPr>
          <w:rFonts w:asciiTheme="minorHAnsi" w:hAnsiTheme="minorHAnsi"/>
          <w:lang w:val="nl-NL"/>
        </w:rPr>
      </w:pPr>
      <w:r w:rsidRPr="00154DF6">
        <w:rPr>
          <w:rFonts w:asciiTheme="minorHAnsi" w:hAnsiTheme="minorHAnsi"/>
          <w:lang w:val="nl-NL"/>
        </w:rPr>
        <w:t xml:space="preserve">De aanzuivering van het bijzonder reservefonds in de verplichte verzekering wordt geboekt via de "overige technische kosten" in het aanvullend bijzonder reservefonds (code 90) van de aanvullende verzekering. </w:t>
      </w:r>
    </w:p>
    <w:p w14:paraId="286406C3" w14:textId="77777777" w:rsidR="004F2E37" w:rsidRPr="00154DF6" w:rsidRDefault="007757B5" w:rsidP="004F2E37">
      <w:pPr>
        <w:numPr>
          <w:ilvl w:val="0"/>
          <w:numId w:val="2"/>
        </w:numPr>
        <w:spacing w:after="120"/>
        <w:rPr>
          <w:rFonts w:asciiTheme="minorHAnsi" w:hAnsiTheme="minorHAnsi"/>
          <w:lang w:val="nl-NL"/>
        </w:rPr>
      </w:pPr>
      <w:r w:rsidRPr="00154DF6">
        <w:rPr>
          <w:rFonts w:asciiTheme="minorHAnsi" w:hAnsiTheme="minorHAnsi"/>
        </w:rPr>
        <w:t>In de staat « X</w:t>
      </w:r>
      <w:r w:rsidR="004F2E37" w:rsidRPr="00154DF6">
        <w:rPr>
          <w:rFonts w:asciiTheme="minorHAnsi" w:hAnsiTheme="minorHAnsi"/>
        </w:rPr>
        <w:t>II. Niet in de balans opgenomen rechten en verplichtingen » (</w:t>
      </w:r>
      <w:r w:rsidRPr="00154DF6">
        <w:rPr>
          <w:rFonts w:asciiTheme="minorHAnsi" w:hAnsiTheme="minorHAnsi"/>
        </w:rPr>
        <w:t>AV.13</w:t>
      </w:r>
      <w:r w:rsidR="004F2E37" w:rsidRPr="00154DF6">
        <w:rPr>
          <w:rFonts w:asciiTheme="minorHAnsi" w:hAnsiTheme="minorHAnsi"/>
        </w:rPr>
        <w:t>) van de toelichting wordt in de rubriek « B. Overige niet in de balans opgenomen rechten en verplichtingen » per dienst van de aanvullende verzekering het bedrag vermeld van de voorzieningen voor I.B.N.R.</w:t>
      </w:r>
    </w:p>
    <w:p w14:paraId="206438F7" w14:textId="77777777" w:rsidR="004F2E37" w:rsidRPr="00154DF6" w:rsidRDefault="004F2E37" w:rsidP="004F2E37">
      <w:pPr>
        <w:numPr>
          <w:ilvl w:val="0"/>
          <w:numId w:val="2"/>
        </w:numPr>
        <w:spacing w:after="120"/>
        <w:rPr>
          <w:rFonts w:asciiTheme="minorHAnsi" w:hAnsiTheme="minorHAnsi"/>
          <w:lang w:val="nl-NL"/>
        </w:rPr>
      </w:pPr>
      <w:r w:rsidRPr="00154DF6">
        <w:rPr>
          <w:rFonts w:asciiTheme="minorHAnsi" w:hAnsiTheme="minorHAnsi"/>
          <w:lang w:val="nl-NL"/>
        </w:rPr>
        <w:t xml:space="preserve">De waarderings- en </w:t>
      </w:r>
      <w:proofErr w:type="spellStart"/>
      <w:r w:rsidRPr="00154DF6">
        <w:rPr>
          <w:rFonts w:asciiTheme="minorHAnsi" w:hAnsiTheme="minorHAnsi"/>
          <w:lang w:val="nl-NL"/>
        </w:rPr>
        <w:t>toerekeningsregels</w:t>
      </w:r>
      <w:proofErr w:type="spellEnd"/>
      <w:r w:rsidRPr="00154DF6">
        <w:rPr>
          <w:rFonts w:asciiTheme="minorHAnsi" w:hAnsiTheme="minorHAnsi"/>
          <w:lang w:val="nl-NL"/>
        </w:rPr>
        <w:t xml:space="preserve"> worden in de toelichting voldoende ingevuld (</w:t>
      </w:r>
      <w:r w:rsidR="007757B5" w:rsidRPr="00154DF6">
        <w:rPr>
          <w:rFonts w:asciiTheme="minorHAnsi" w:hAnsiTheme="minorHAnsi"/>
          <w:lang w:val="nl-NL"/>
        </w:rPr>
        <w:t>AV.14</w:t>
      </w:r>
      <w:r w:rsidRPr="00154DF6">
        <w:rPr>
          <w:rFonts w:asciiTheme="minorHAnsi" w:hAnsiTheme="minorHAnsi"/>
          <w:lang w:val="nl-NL"/>
        </w:rPr>
        <w:t xml:space="preserve"> t/m </w:t>
      </w:r>
      <w:r w:rsidR="007757B5" w:rsidRPr="00154DF6">
        <w:rPr>
          <w:rFonts w:asciiTheme="minorHAnsi" w:hAnsiTheme="minorHAnsi"/>
          <w:lang w:val="nl-NL"/>
        </w:rPr>
        <w:t>AV.18</w:t>
      </w:r>
      <w:r w:rsidRPr="00154DF6">
        <w:rPr>
          <w:rFonts w:asciiTheme="minorHAnsi" w:hAnsiTheme="minorHAnsi"/>
          <w:lang w:val="nl-NL"/>
        </w:rPr>
        <w:t>). Er wordt verwacht dat indien in beleggingsproducten wordt belegd, minstens regels zijn vermeld m.b.t. de waardering van deze beleggingsproducten.</w:t>
      </w:r>
    </w:p>
    <w:p w14:paraId="3FEA1234" w14:textId="77777777" w:rsidR="004F2E37" w:rsidRPr="00154DF6" w:rsidRDefault="004F2E37" w:rsidP="004F2E37">
      <w:pPr>
        <w:numPr>
          <w:ilvl w:val="0"/>
          <w:numId w:val="2"/>
        </w:numPr>
        <w:rPr>
          <w:rFonts w:asciiTheme="minorHAnsi" w:hAnsiTheme="minorHAnsi"/>
          <w:lang w:val="nl-NL"/>
        </w:rPr>
      </w:pPr>
      <w:r w:rsidRPr="00154DF6">
        <w:rPr>
          <w:rFonts w:asciiTheme="minorHAnsi" w:hAnsiTheme="minorHAnsi"/>
          <w:lang w:val="nl-NL"/>
        </w:rPr>
        <w:t>De ingerichte diensten zijn in overeenstemming met de aard van de entiteit, nl. :</w:t>
      </w:r>
    </w:p>
    <w:p w14:paraId="11C930C1" w14:textId="77777777" w:rsidR="004F2E37" w:rsidRPr="00154DF6" w:rsidRDefault="004F2E37" w:rsidP="004F2E37">
      <w:pPr>
        <w:ind w:left="360"/>
        <w:rPr>
          <w:rFonts w:asciiTheme="minorHAnsi" w:hAnsiTheme="minorHAnsi"/>
          <w:lang w:val="nl-NL"/>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0"/>
        <w:gridCol w:w="3470"/>
      </w:tblGrid>
      <w:tr w:rsidR="004F2E37" w:rsidRPr="00154DF6" w14:paraId="7CCAB2B9" w14:textId="77777777" w:rsidTr="001526C0">
        <w:tc>
          <w:tcPr>
            <w:tcW w:w="5310" w:type="dxa"/>
          </w:tcPr>
          <w:p w14:paraId="6E602A1C" w14:textId="77777777" w:rsidR="004F2E37" w:rsidRPr="00154DF6" w:rsidRDefault="004F2E37" w:rsidP="001526C0">
            <w:pPr>
              <w:jc w:val="left"/>
              <w:rPr>
                <w:rFonts w:asciiTheme="minorHAnsi" w:hAnsiTheme="minorHAnsi"/>
                <w:lang w:val="nl-NL"/>
              </w:rPr>
            </w:pPr>
            <w:r w:rsidRPr="00154DF6">
              <w:rPr>
                <w:rFonts w:asciiTheme="minorHAnsi" w:hAnsiTheme="minorHAnsi"/>
                <w:lang w:val="nl-NL"/>
              </w:rPr>
              <w:t>Code 39 – Zorgverzekering</w:t>
            </w:r>
          </w:p>
        </w:tc>
        <w:tc>
          <w:tcPr>
            <w:tcW w:w="3470" w:type="dxa"/>
          </w:tcPr>
          <w:p w14:paraId="7A3C77BE" w14:textId="77777777" w:rsidR="004F2E37" w:rsidRPr="00154DF6" w:rsidRDefault="004F2E37" w:rsidP="001526C0">
            <w:pPr>
              <w:jc w:val="left"/>
              <w:rPr>
                <w:rFonts w:asciiTheme="minorHAnsi" w:hAnsiTheme="minorHAnsi"/>
                <w:lang w:val="nl-NL"/>
              </w:rPr>
            </w:pPr>
            <w:r w:rsidRPr="00154DF6">
              <w:rPr>
                <w:rFonts w:asciiTheme="minorHAnsi" w:hAnsiTheme="minorHAnsi"/>
                <w:lang w:val="nl-NL"/>
              </w:rPr>
              <w:t xml:space="preserve">Enkel door Vlaamse </w:t>
            </w:r>
            <w:proofErr w:type="spellStart"/>
            <w:r w:rsidRPr="00154DF6">
              <w:rPr>
                <w:rFonts w:asciiTheme="minorHAnsi" w:hAnsiTheme="minorHAnsi"/>
                <w:lang w:val="nl-NL"/>
              </w:rPr>
              <w:t>MOB's</w:t>
            </w:r>
            <w:proofErr w:type="spellEnd"/>
            <w:r w:rsidRPr="00154DF6">
              <w:rPr>
                <w:rFonts w:asciiTheme="minorHAnsi" w:hAnsiTheme="minorHAnsi"/>
                <w:lang w:val="nl-NL"/>
              </w:rPr>
              <w:t xml:space="preserve"> </w:t>
            </w:r>
          </w:p>
        </w:tc>
      </w:tr>
      <w:tr w:rsidR="004F2E37" w:rsidRPr="00154DF6" w14:paraId="13111671" w14:textId="77777777" w:rsidTr="001526C0">
        <w:tc>
          <w:tcPr>
            <w:tcW w:w="5310" w:type="dxa"/>
          </w:tcPr>
          <w:p w14:paraId="07376968" w14:textId="77777777" w:rsidR="004F2E37" w:rsidRPr="00154DF6" w:rsidRDefault="004F2E37" w:rsidP="001526C0">
            <w:pPr>
              <w:jc w:val="left"/>
              <w:rPr>
                <w:rFonts w:asciiTheme="minorHAnsi" w:hAnsiTheme="minorHAnsi"/>
                <w:lang w:val="nl-NL"/>
              </w:rPr>
            </w:pPr>
            <w:r w:rsidRPr="00154DF6">
              <w:rPr>
                <w:rFonts w:asciiTheme="minorHAnsi" w:hAnsiTheme="minorHAnsi"/>
                <w:lang w:val="nl-NL"/>
              </w:rPr>
              <w:t>Code 56 – Voorhuwelijkssparen</w:t>
            </w:r>
          </w:p>
        </w:tc>
        <w:tc>
          <w:tcPr>
            <w:tcW w:w="3470" w:type="dxa"/>
          </w:tcPr>
          <w:p w14:paraId="73D37A8B" w14:textId="77777777" w:rsidR="004F2E37" w:rsidRPr="00154DF6" w:rsidRDefault="004F2E37" w:rsidP="001526C0">
            <w:pPr>
              <w:jc w:val="left"/>
              <w:rPr>
                <w:rFonts w:asciiTheme="minorHAnsi" w:hAnsiTheme="minorHAnsi"/>
                <w:lang w:val="nl-NL"/>
              </w:rPr>
            </w:pPr>
            <w:r w:rsidRPr="00154DF6">
              <w:rPr>
                <w:rFonts w:asciiTheme="minorHAnsi" w:hAnsiTheme="minorHAnsi"/>
                <w:lang w:val="nl-NL"/>
              </w:rPr>
              <w:t>Enkel door de landsbonden</w:t>
            </w:r>
          </w:p>
        </w:tc>
      </w:tr>
      <w:tr w:rsidR="004F2E37" w:rsidRPr="00154DF6" w14:paraId="7624ACE0" w14:textId="77777777" w:rsidTr="001526C0">
        <w:tc>
          <w:tcPr>
            <w:tcW w:w="5310" w:type="dxa"/>
          </w:tcPr>
          <w:p w14:paraId="1196AEEA" w14:textId="77777777" w:rsidR="004F2E37" w:rsidRPr="00154DF6" w:rsidRDefault="004F2E37" w:rsidP="001526C0">
            <w:pPr>
              <w:jc w:val="left"/>
              <w:rPr>
                <w:rFonts w:asciiTheme="minorHAnsi" w:hAnsiTheme="minorHAnsi"/>
                <w:lang w:val="nl-NL"/>
              </w:rPr>
            </w:pPr>
            <w:r w:rsidRPr="00154DF6">
              <w:rPr>
                <w:rFonts w:asciiTheme="minorHAnsi" w:hAnsiTheme="minorHAnsi"/>
                <w:lang w:val="nl-NL"/>
              </w:rPr>
              <w:t>Code 90 – Aanvullend bijzonder reservefonds</w:t>
            </w:r>
          </w:p>
        </w:tc>
        <w:tc>
          <w:tcPr>
            <w:tcW w:w="3470" w:type="dxa"/>
          </w:tcPr>
          <w:p w14:paraId="5CC113E2" w14:textId="77777777" w:rsidR="004F2E37" w:rsidRPr="00154DF6" w:rsidRDefault="004F2E37" w:rsidP="001526C0">
            <w:pPr>
              <w:jc w:val="left"/>
              <w:rPr>
                <w:rFonts w:asciiTheme="minorHAnsi" w:hAnsiTheme="minorHAnsi"/>
                <w:lang w:val="nl-NL"/>
              </w:rPr>
            </w:pPr>
            <w:r w:rsidRPr="00154DF6">
              <w:rPr>
                <w:rFonts w:asciiTheme="minorHAnsi" w:hAnsiTheme="minorHAnsi"/>
                <w:lang w:val="nl-NL"/>
              </w:rPr>
              <w:t>Enkel door de landsbonden</w:t>
            </w:r>
          </w:p>
        </w:tc>
      </w:tr>
      <w:tr w:rsidR="004F2E37" w:rsidRPr="00154DF6" w14:paraId="7325E418" w14:textId="77777777" w:rsidTr="001526C0">
        <w:tc>
          <w:tcPr>
            <w:tcW w:w="5310" w:type="dxa"/>
          </w:tcPr>
          <w:p w14:paraId="7808FD2A" w14:textId="77777777" w:rsidR="004F2E37" w:rsidRPr="00154DF6" w:rsidRDefault="004F2E37" w:rsidP="001526C0">
            <w:pPr>
              <w:jc w:val="left"/>
              <w:rPr>
                <w:rFonts w:asciiTheme="minorHAnsi" w:hAnsiTheme="minorHAnsi"/>
                <w:lang w:val="nl-NL"/>
              </w:rPr>
            </w:pPr>
            <w:r w:rsidRPr="00154DF6">
              <w:rPr>
                <w:rFonts w:asciiTheme="minorHAnsi" w:hAnsiTheme="minorHAnsi"/>
                <w:lang w:val="nl-NL"/>
              </w:rPr>
              <w:t>Code 98/1 – Administratief centrum - verdeelcentrum</w:t>
            </w:r>
          </w:p>
        </w:tc>
        <w:tc>
          <w:tcPr>
            <w:tcW w:w="3470" w:type="dxa"/>
            <w:vMerge w:val="restart"/>
          </w:tcPr>
          <w:p w14:paraId="0BE534C3" w14:textId="77777777" w:rsidR="004F2E37" w:rsidRPr="00154DF6" w:rsidRDefault="004F2E37" w:rsidP="001526C0">
            <w:pPr>
              <w:jc w:val="left"/>
              <w:rPr>
                <w:rFonts w:asciiTheme="minorHAnsi" w:hAnsiTheme="minorHAnsi"/>
                <w:lang w:val="nl-NL"/>
              </w:rPr>
            </w:pPr>
            <w:r w:rsidRPr="00154DF6">
              <w:rPr>
                <w:rFonts w:asciiTheme="minorHAnsi" w:hAnsiTheme="minorHAnsi"/>
                <w:lang w:val="nl-NL"/>
              </w:rPr>
              <w:t xml:space="preserve">Alle mutualistische entiteiten dienen deze opsplitsing van de code 98 uit te voeren. </w:t>
            </w:r>
          </w:p>
        </w:tc>
      </w:tr>
      <w:tr w:rsidR="004F2E37" w:rsidRPr="00154DF6" w14:paraId="06250A75" w14:textId="77777777" w:rsidTr="001526C0">
        <w:tc>
          <w:tcPr>
            <w:tcW w:w="5310" w:type="dxa"/>
          </w:tcPr>
          <w:p w14:paraId="0FAC62F5" w14:textId="77777777" w:rsidR="004F2E37" w:rsidRPr="00154DF6" w:rsidRDefault="004F2E37" w:rsidP="001526C0">
            <w:pPr>
              <w:jc w:val="left"/>
              <w:rPr>
                <w:rFonts w:asciiTheme="minorHAnsi" w:hAnsiTheme="minorHAnsi"/>
                <w:lang w:val="nl-NL"/>
              </w:rPr>
            </w:pPr>
            <w:r w:rsidRPr="00154DF6">
              <w:rPr>
                <w:rFonts w:asciiTheme="minorHAnsi" w:hAnsiTheme="minorHAnsi"/>
                <w:lang w:val="nl-NL"/>
              </w:rPr>
              <w:t>Code 98/2 – Administratief centrum – reserves administratiekosten verplichte verzekering</w:t>
            </w:r>
          </w:p>
        </w:tc>
        <w:tc>
          <w:tcPr>
            <w:tcW w:w="3470" w:type="dxa"/>
            <w:vMerge/>
          </w:tcPr>
          <w:p w14:paraId="635D1CC1" w14:textId="77777777" w:rsidR="004F2E37" w:rsidRPr="00154DF6" w:rsidRDefault="004F2E37" w:rsidP="001526C0">
            <w:pPr>
              <w:jc w:val="left"/>
              <w:rPr>
                <w:rFonts w:asciiTheme="minorHAnsi" w:hAnsiTheme="minorHAnsi"/>
                <w:lang w:val="nl-NL"/>
              </w:rPr>
            </w:pPr>
          </w:p>
        </w:tc>
      </w:tr>
    </w:tbl>
    <w:p w14:paraId="560EE506" w14:textId="77777777" w:rsidR="004F2E37" w:rsidRPr="00154DF6" w:rsidRDefault="004F2E37" w:rsidP="004F2E37">
      <w:pPr>
        <w:ind w:left="360"/>
        <w:rPr>
          <w:rFonts w:asciiTheme="minorHAnsi" w:hAnsiTheme="minorHAnsi"/>
          <w:lang w:val="nl-NL"/>
        </w:rPr>
      </w:pPr>
    </w:p>
    <w:p w14:paraId="1474EBB4" w14:textId="77777777" w:rsidR="004F2E37" w:rsidRPr="00154DF6" w:rsidRDefault="004F2E37" w:rsidP="004F2E37">
      <w:pPr>
        <w:ind w:left="360"/>
        <w:rPr>
          <w:rFonts w:asciiTheme="minorHAnsi" w:hAnsiTheme="minorHAnsi"/>
          <w:lang w:val="nl-NL"/>
        </w:rPr>
      </w:pPr>
      <w:r w:rsidRPr="00154DF6">
        <w:rPr>
          <w:rFonts w:asciiTheme="minorHAnsi" w:hAnsiTheme="minorHAnsi"/>
          <w:lang w:val="nl-NL"/>
        </w:rPr>
        <w:t xml:space="preserve">Er dient een overeenstemming te zijn tussen de gebruikte codes in </w:t>
      </w:r>
      <w:proofErr w:type="spellStart"/>
      <w:r w:rsidRPr="00154DF6">
        <w:rPr>
          <w:rFonts w:asciiTheme="minorHAnsi" w:hAnsiTheme="minorHAnsi"/>
          <w:lang w:val="nl-NL"/>
        </w:rPr>
        <w:t>Egus</w:t>
      </w:r>
      <w:proofErr w:type="spellEnd"/>
      <w:r w:rsidRPr="00154DF6">
        <w:rPr>
          <w:rFonts w:asciiTheme="minorHAnsi" w:hAnsiTheme="minorHAnsi"/>
          <w:lang w:val="nl-NL"/>
        </w:rPr>
        <w:t xml:space="preserve"> en de gebruikte codes in de bijdragetabel in </w:t>
      </w:r>
      <w:proofErr w:type="spellStart"/>
      <w:r w:rsidRPr="00154DF6">
        <w:rPr>
          <w:rFonts w:asciiTheme="minorHAnsi" w:hAnsiTheme="minorHAnsi"/>
          <w:lang w:val="nl-NL"/>
        </w:rPr>
        <w:t>Etac</w:t>
      </w:r>
      <w:proofErr w:type="spellEnd"/>
      <w:r w:rsidRPr="00154DF6">
        <w:rPr>
          <w:rFonts w:asciiTheme="minorHAnsi" w:hAnsiTheme="minorHAnsi"/>
          <w:lang w:val="nl-NL"/>
        </w:rPr>
        <w:t xml:space="preserve"> (vb. een code 14 in </w:t>
      </w:r>
      <w:proofErr w:type="spellStart"/>
      <w:r w:rsidRPr="00154DF6">
        <w:rPr>
          <w:rFonts w:asciiTheme="minorHAnsi" w:hAnsiTheme="minorHAnsi"/>
          <w:lang w:val="nl-NL"/>
        </w:rPr>
        <w:t>Etac</w:t>
      </w:r>
      <w:proofErr w:type="spellEnd"/>
      <w:r w:rsidRPr="00154DF6">
        <w:rPr>
          <w:rFonts w:asciiTheme="minorHAnsi" w:hAnsiTheme="minorHAnsi"/>
          <w:lang w:val="nl-NL"/>
        </w:rPr>
        <w:t xml:space="preserve"> betekent ook een code 14 in </w:t>
      </w:r>
      <w:proofErr w:type="spellStart"/>
      <w:r w:rsidRPr="00154DF6">
        <w:rPr>
          <w:rFonts w:asciiTheme="minorHAnsi" w:hAnsiTheme="minorHAnsi"/>
          <w:lang w:val="nl-NL"/>
        </w:rPr>
        <w:t>Egus</w:t>
      </w:r>
      <w:proofErr w:type="spellEnd"/>
      <w:r w:rsidRPr="00154DF6">
        <w:rPr>
          <w:rFonts w:asciiTheme="minorHAnsi" w:hAnsiTheme="minorHAnsi"/>
          <w:lang w:val="nl-NL"/>
        </w:rPr>
        <w:t>)</w:t>
      </w:r>
      <w:r w:rsidR="00F277AC" w:rsidRPr="00154DF6">
        <w:rPr>
          <w:rFonts w:asciiTheme="minorHAnsi" w:hAnsiTheme="minorHAnsi"/>
          <w:lang w:val="nl-NL"/>
        </w:rPr>
        <w:t>, tenzij de afwijking kan worden verantwoord (vb. voor diensten in uitdo</w:t>
      </w:r>
      <w:r w:rsidR="000B5FD4" w:rsidRPr="00154DF6">
        <w:rPr>
          <w:rFonts w:asciiTheme="minorHAnsi" w:hAnsiTheme="minorHAnsi"/>
          <w:lang w:val="nl-NL"/>
        </w:rPr>
        <w:t>ving)</w:t>
      </w:r>
      <w:r w:rsidRPr="00154DF6">
        <w:rPr>
          <w:rFonts w:asciiTheme="minorHAnsi" w:hAnsiTheme="minorHAnsi"/>
          <w:lang w:val="nl-NL"/>
        </w:rPr>
        <w:t xml:space="preserve">. Voor elke opgesplitste code in </w:t>
      </w:r>
      <w:proofErr w:type="spellStart"/>
      <w:r w:rsidRPr="00154DF6">
        <w:rPr>
          <w:rFonts w:asciiTheme="minorHAnsi" w:hAnsiTheme="minorHAnsi"/>
          <w:lang w:val="nl-NL"/>
        </w:rPr>
        <w:t>Etac</w:t>
      </w:r>
      <w:proofErr w:type="spellEnd"/>
      <w:r w:rsidRPr="00154DF6">
        <w:rPr>
          <w:rFonts w:asciiTheme="minorHAnsi" w:hAnsiTheme="minorHAnsi"/>
          <w:lang w:val="nl-NL"/>
        </w:rPr>
        <w:t xml:space="preserve"> is er een aparte resultatenrekening in </w:t>
      </w:r>
      <w:proofErr w:type="spellStart"/>
      <w:r w:rsidRPr="00154DF6">
        <w:rPr>
          <w:rFonts w:asciiTheme="minorHAnsi" w:hAnsiTheme="minorHAnsi"/>
          <w:lang w:val="nl-NL"/>
        </w:rPr>
        <w:t>Egus</w:t>
      </w:r>
      <w:proofErr w:type="spellEnd"/>
      <w:r w:rsidRPr="00154DF6">
        <w:rPr>
          <w:rFonts w:asciiTheme="minorHAnsi" w:hAnsiTheme="minorHAnsi"/>
          <w:lang w:val="nl-NL"/>
        </w:rPr>
        <w:t>.</w:t>
      </w:r>
    </w:p>
    <w:p w14:paraId="648307AB" w14:textId="77777777" w:rsidR="004F2E37" w:rsidRPr="00154DF6" w:rsidRDefault="004F2E37" w:rsidP="004F2E37">
      <w:pPr>
        <w:ind w:left="360"/>
        <w:rPr>
          <w:rFonts w:asciiTheme="minorHAnsi" w:hAnsiTheme="minorHAnsi"/>
          <w:lang w:val="nl-NL"/>
        </w:rPr>
      </w:pPr>
    </w:p>
    <w:p w14:paraId="11CA1C91" w14:textId="77777777" w:rsidR="004F2E37" w:rsidRPr="00154DF6" w:rsidRDefault="004F2E37" w:rsidP="004F2E37">
      <w:pPr>
        <w:numPr>
          <w:ilvl w:val="0"/>
          <w:numId w:val="2"/>
        </w:numPr>
        <w:spacing w:after="120"/>
        <w:rPr>
          <w:rFonts w:asciiTheme="minorHAnsi" w:hAnsiTheme="minorHAnsi"/>
          <w:lang w:val="nl-NL"/>
        </w:rPr>
      </w:pPr>
      <w:r w:rsidRPr="00154DF6">
        <w:rPr>
          <w:rFonts w:asciiTheme="minorHAnsi" w:hAnsiTheme="minorHAnsi"/>
          <w:lang w:val="nl-NL"/>
        </w:rPr>
        <w:t xml:space="preserve">De </w:t>
      </w:r>
      <w:r w:rsidR="000B5FD4" w:rsidRPr="00154DF6">
        <w:rPr>
          <w:rFonts w:asciiTheme="minorHAnsi" w:hAnsiTheme="minorHAnsi"/>
          <w:lang w:val="nl-NL"/>
        </w:rPr>
        <w:t xml:space="preserve">indicatieve controles (= verklaring in het </w:t>
      </w:r>
      <w:proofErr w:type="spellStart"/>
      <w:r w:rsidR="000B5FD4" w:rsidRPr="00154DF6">
        <w:rPr>
          <w:rFonts w:asciiTheme="minorHAnsi" w:hAnsiTheme="minorHAnsi"/>
          <w:lang w:val="nl-NL"/>
        </w:rPr>
        <w:t>tekstvak</w:t>
      </w:r>
      <w:proofErr w:type="spellEnd"/>
      <w:r w:rsidR="000B5FD4" w:rsidRPr="00154DF6">
        <w:rPr>
          <w:rFonts w:asciiTheme="minorHAnsi" w:hAnsiTheme="minorHAnsi"/>
          <w:lang w:val="nl-NL"/>
        </w:rPr>
        <w:t xml:space="preserve"> ‘uitleg’ van de List of </w:t>
      </w:r>
      <w:proofErr w:type="spellStart"/>
      <w:r w:rsidR="000B5FD4" w:rsidRPr="00154DF6">
        <w:rPr>
          <w:rFonts w:asciiTheme="minorHAnsi" w:hAnsiTheme="minorHAnsi"/>
          <w:lang w:val="nl-NL"/>
        </w:rPr>
        <w:t>errors</w:t>
      </w:r>
      <w:proofErr w:type="spellEnd"/>
      <w:r w:rsidR="000B5FD4" w:rsidRPr="00154DF6">
        <w:rPr>
          <w:rFonts w:asciiTheme="minorHAnsi" w:hAnsiTheme="minorHAnsi"/>
          <w:lang w:val="nl-NL"/>
        </w:rPr>
        <w:t xml:space="preserve"> die bekomen wordt na het uitvoeren van de controles, cf. punt </w:t>
      </w:r>
      <w:r w:rsidR="00300BAB" w:rsidRPr="00154DF6">
        <w:rPr>
          <w:rFonts w:asciiTheme="minorHAnsi" w:hAnsiTheme="minorHAnsi"/>
          <w:lang w:val="nl-NL"/>
        </w:rPr>
        <w:t>III.</w:t>
      </w:r>
      <w:r w:rsidR="000B5FD4" w:rsidRPr="00154DF6">
        <w:rPr>
          <w:rFonts w:asciiTheme="minorHAnsi" w:hAnsiTheme="minorHAnsi"/>
          <w:lang w:val="nl-NL"/>
        </w:rPr>
        <w:t xml:space="preserve">4.2 </w:t>
      </w:r>
      <w:r w:rsidR="005A14C9" w:rsidRPr="00154DF6">
        <w:rPr>
          <w:rFonts w:asciiTheme="minorHAnsi" w:hAnsiTheme="minorHAnsi"/>
          <w:lang w:val="nl-NL"/>
        </w:rPr>
        <w:t>op bladzijde 54</w:t>
      </w:r>
      <w:r w:rsidR="001A7DE0" w:rsidRPr="00154DF6">
        <w:rPr>
          <w:rFonts w:asciiTheme="minorHAnsi" w:hAnsiTheme="minorHAnsi"/>
          <w:lang w:val="nl-NL"/>
        </w:rPr>
        <w:t xml:space="preserve"> t.e.m. 56</w:t>
      </w:r>
      <w:r w:rsidR="005A14C9" w:rsidRPr="00154DF6">
        <w:rPr>
          <w:rFonts w:asciiTheme="minorHAnsi" w:hAnsiTheme="minorHAnsi"/>
          <w:lang w:val="nl-NL"/>
        </w:rPr>
        <w:t xml:space="preserve"> van de </w:t>
      </w:r>
      <w:proofErr w:type="spellStart"/>
      <w:r w:rsidR="005A14C9" w:rsidRPr="00154DF6">
        <w:rPr>
          <w:rFonts w:asciiTheme="minorHAnsi" w:hAnsiTheme="minorHAnsi"/>
          <w:lang w:val="nl-NL"/>
        </w:rPr>
        <w:t>UserManua</w:t>
      </w:r>
      <w:r w:rsidR="000B5FD4" w:rsidRPr="00154DF6">
        <w:rPr>
          <w:rFonts w:asciiTheme="minorHAnsi" w:hAnsiTheme="minorHAnsi"/>
          <w:lang w:val="nl-NL"/>
        </w:rPr>
        <w:t>l</w:t>
      </w:r>
      <w:proofErr w:type="spellEnd"/>
      <w:r w:rsidR="000B5FD4" w:rsidRPr="00154DF6">
        <w:rPr>
          <w:rFonts w:asciiTheme="minorHAnsi" w:hAnsiTheme="minorHAnsi"/>
          <w:lang w:val="nl-NL"/>
        </w:rPr>
        <w:t xml:space="preserve">) waaraan niet is voldaan, </w:t>
      </w:r>
      <w:r w:rsidR="00300BAB" w:rsidRPr="00154DF6">
        <w:rPr>
          <w:rFonts w:asciiTheme="minorHAnsi" w:hAnsiTheme="minorHAnsi"/>
          <w:lang w:val="nl-NL"/>
        </w:rPr>
        <w:t>zijn voldoende gemotiveerd</w:t>
      </w:r>
      <w:r w:rsidRPr="00154DF6">
        <w:rPr>
          <w:rFonts w:asciiTheme="minorHAnsi" w:hAnsiTheme="minorHAnsi"/>
          <w:lang w:val="nl-NL"/>
        </w:rPr>
        <w:t>.</w:t>
      </w:r>
    </w:p>
    <w:p w14:paraId="11B69A4E" w14:textId="77777777" w:rsidR="004F2E37" w:rsidRPr="00154DF6" w:rsidRDefault="004F2E37" w:rsidP="004F2E37">
      <w:pPr>
        <w:numPr>
          <w:ilvl w:val="0"/>
          <w:numId w:val="2"/>
        </w:numPr>
        <w:spacing w:after="120"/>
        <w:rPr>
          <w:rFonts w:asciiTheme="minorHAnsi" w:hAnsiTheme="minorHAnsi"/>
          <w:lang w:val="nl-NL"/>
        </w:rPr>
      </w:pPr>
      <w:r w:rsidRPr="00154DF6">
        <w:rPr>
          <w:rFonts w:asciiTheme="minorHAnsi" w:hAnsiTheme="minorHAnsi"/>
          <w:lang w:val="nl-NL"/>
        </w:rPr>
        <w:t>De staten "</w:t>
      </w:r>
      <w:r w:rsidR="001A7DE0" w:rsidRPr="00154DF6">
        <w:rPr>
          <w:rFonts w:asciiTheme="minorHAnsi" w:hAnsiTheme="minorHAnsi"/>
          <w:lang w:val="nl-NL"/>
        </w:rPr>
        <w:t>I</w:t>
      </w:r>
      <w:r w:rsidRPr="00154DF6">
        <w:rPr>
          <w:rFonts w:asciiTheme="minorHAnsi" w:hAnsiTheme="minorHAnsi"/>
          <w:lang w:val="nl-NL"/>
        </w:rPr>
        <w:t>V.A. Geldbeleggingen – Vastrentende effecten" (</w:t>
      </w:r>
      <w:r w:rsidR="001A7DE0" w:rsidRPr="00154DF6">
        <w:rPr>
          <w:rFonts w:asciiTheme="minorHAnsi" w:hAnsiTheme="minorHAnsi"/>
          <w:lang w:val="nl-NL"/>
        </w:rPr>
        <w:t>AVX.4</w:t>
      </w:r>
      <w:r w:rsidRPr="00154DF6">
        <w:rPr>
          <w:rFonts w:asciiTheme="minorHAnsi" w:hAnsiTheme="minorHAnsi"/>
          <w:lang w:val="nl-NL"/>
        </w:rPr>
        <w:t>) en "</w:t>
      </w:r>
      <w:r w:rsidR="001A7DE0" w:rsidRPr="00154DF6">
        <w:rPr>
          <w:rFonts w:asciiTheme="minorHAnsi" w:hAnsiTheme="minorHAnsi"/>
          <w:lang w:val="nl-NL"/>
        </w:rPr>
        <w:t>I</w:t>
      </w:r>
      <w:r w:rsidRPr="00154DF6">
        <w:rPr>
          <w:rFonts w:asciiTheme="minorHAnsi" w:hAnsiTheme="minorHAnsi"/>
          <w:lang w:val="nl-NL"/>
        </w:rPr>
        <w:t>V.C. Geldbeleggingen – overige geldbeleggingen" (</w:t>
      </w:r>
      <w:r w:rsidR="001A7DE0" w:rsidRPr="00154DF6">
        <w:rPr>
          <w:rFonts w:asciiTheme="minorHAnsi" w:hAnsiTheme="minorHAnsi"/>
          <w:lang w:val="nl-NL"/>
        </w:rPr>
        <w:t>AVX.6</w:t>
      </w:r>
      <w:r w:rsidRPr="00154DF6">
        <w:rPr>
          <w:rFonts w:asciiTheme="minorHAnsi" w:hAnsiTheme="minorHAnsi"/>
          <w:lang w:val="nl-NL"/>
        </w:rPr>
        <w:t>) worden voldoende gedetailleerd en geactualiseerd. Dit houdt enerzijds in dat er geen gegevens geglobaliseerd mogen weergegeven worden (tenzij het meerdere aankopen van eenzelfde effect betreft) en anderzijds dat verkochte of vervallen effecten verwijderd worden uit de tabel.</w:t>
      </w:r>
    </w:p>
    <w:p w14:paraId="254A5B95" w14:textId="352F6A69" w:rsidR="004F2E37" w:rsidRDefault="004F2E37" w:rsidP="004F2E37">
      <w:pPr>
        <w:numPr>
          <w:ilvl w:val="0"/>
          <w:numId w:val="2"/>
        </w:numPr>
        <w:spacing w:after="120"/>
        <w:rPr>
          <w:rFonts w:asciiTheme="minorHAnsi" w:hAnsiTheme="minorHAnsi"/>
          <w:lang w:val="nl-NL"/>
        </w:rPr>
      </w:pPr>
      <w:r w:rsidRPr="00154DF6">
        <w:rPr>
          <w:rFonts w:asciiTheme="minorHAnsi" w:hAnsiTheme="minorHAnsi"/>
          <w:lang w:val="nl-NL"/>
        </w:rPr>
        <w:t>De ingevulde opdeling in de staten m.b.t. de geldbeleggingen (</w:t>
      </w:r>
      <w:r w:rsidR="001A7DE0" w:rsidRPr="00154DF6">
        <w:rPr>
          <w:rFonts w:asciiTheme="minorHAnsi" w:hAnsiTheme="minorHAnsi"/>
          <w:lang w:val="nl-NL"/>
        </w:rPr>
        <w:t>AVX.4</w:t>
      </w:r>
      <w:r w:rsidRPr="00154DF6">
        <w:rPr>
          <w:rFonts w:asciiTheme="minorHAnsi" w:hAnsiTheme="minorHAnsi"/>
          <w:lang w:val="nl-NL"/>
        </w:rPr>
        <w:t xml:space="preserve">, </w:t>
      </w:r>
      <w:r w:rsidR="001A7DE0" w:rsidRPr="00154DF6">
        <w:rPr>
          <w:rFonts w:asciiTheme="minorHAnsi" w:hAnsiTheme="minorHAnsi"/>
          <w:lang w:val="nl-NL"/>
        </w:rPr>
        <w:t xml:space="preserve">AVX.5 </w:t>
      </w:r>
      <w:r w:rsidRPr="00154DF6">
        <w:rPr>
          <w:rFonts w:asciiTheme="minorHAnsi" w:hAnsiTheme="minorHAnsi"/>
          <w:lang w:val="nl-NL"/>
        </w:rPr>
        <w:t xml:space="preserve">en </w:t>
      </w:r>
      <w:r w:rsidR="001A7DE0" w:rsidRPr="00154DF6">
        <w:rPr>
          <w:rFonts w:asciiTheme="minorHAnsi" w:hAnsiTheme="minorHAnsi"/>
          <w:lang w:val="nl-NL"/>
        </w:rPr>
        <w:t>AVX.6</w:t>
      </w:r>
      <w:r w:rsidRPr="00154DF6">
        <w:rPr>
          <w:rFonts w:asciiTheme="minorHAnsi" w:hAnsiTheme="minorHAnsi"/>
          <w:lang w:val="nl-NL"/>
        </w:rPr>
        <w:t xml:space="preserve">) over de diverse </w:t>
      </w:r>
      <w:proofErr w:type="spellStart"/>
      <w:r w:rsidRPr="00154DF6">
        <w:rPr>
          <w:rFonts w:asciiTheme="minorHAnsi" w:hAnsiTheme="minorHAnsi"/>
          <w:lang w:val="nl-NL"/>
        </w:rPr>
        <w:t>geldbeheren</w:t>
      </w:r>
      <w:proofErr w:type="spellEnd"/>
      <w:r w:rsidRPr="00154DF6">
        <w:rPr>
          <w:rFonts w:asciiTheme="minorHAnsi" w:hAnsiTheme="minorHAnsi"/>
          <w:lang w:val="nl-NL"/>
        </w:rPr>
        <w:t xml:space="preserve"> is in overeenstemming met de aard van de entiteit, d.w.z. dat de </w:t>
      </w:r>
      <w:proofErr w:type="spellStart"/>
      <w:r w:rsidRPr="00154DF6">
        <w:rPr>
          <w:rFonts w:asciiTheme="minorHAnsi" w:hAnsiTheme="minorHAnsi"/>
          <w:lang w:val="nl-NL"/>
        </w:rPr>
        <w:t>geldbeheren</w:t>
      </w:r>
      <w:proofErr w:type="spellEnd"/>
      <w:r w:rsidRPr="00154DF6">
        <w:rPr>
          <w:rFonts w:asciiTheme="minorHAnsi" w:hAnsiTheme="minorHAnsi"/>
          <w:lang w:val="nl-NL"/>
        </w:rPr>
        <w:t xml:space="preserve"> "Voorhuwelijkssparen" en "Aanvullend bijzonder reservefonds" enkel van toepassing zijn voor de </w:t>
      </w:r>
      <w:r w:rsidRPr="00154DF6">
        <w:rPr>
          <w:rFonts w:asciiTheme="minorHAnsi" w:hAnsiTheme="minorHAnsi"/>
          <w:lang w:val="nl-NL"/>
        </w:rPr>
        <w:lastRenderedPageBreak/>
        <w:t>landsbonden en dat het geldbeheer "Zorgverzekering" enkel geldt voor een zorgkas ingericht door een Vlaamse MOB.</w:t>
      </w:r>
    </w:p>
    <w:p w14:paraId="77121475" w14:textId="100CDEC9" w:rsidR="00A171CB" w:rsidRPr="00154DF6" w:rsidRDefault="00F871FE" w:rsidP="004F2E37">
      <w:pPr>
        <w:numPr>
          <w:ilvl w:val="0"/>
          <w:numId w:val="2"/>
        </w:numPr>
        <w:spacing w:after="120"/>
        <w:rPr>
          <w:rFonts w:asciiTheme="minorHAnsi" w:hAnsiTheme="minorHAnsi"/>
          <w:lang w:val="nl-NL"/>
        </w:rPr>
      </w:pPr>
      <w:r>
        <w:rPr>
          <w:rFonts w:asciiTheme="minorHAnsi" w:hAnsiTheme="minorHAnsi"/>
          <w:lang w:val="nl-NL"/>
        </w:rPr>
        <w:t xml:space="preserve">De controleformule 3.2.1. gaat na of </w:t>
      </w:r>
      <w:r w:rsidR="0079646B">
        <w:rPr>
          <w:rFonts w:asciiTheme="minorHAnsi" w:hAnsiTheme="minorHAnsi"/>
          <w:lang w:val="nl-NL"/>
        </w:rPr>
        <w:t xml:space="preserve">in de resultatenrekening </w:t>
      </w:r>
      <w:r>
        <w:rPr>
          <w:rFonts w:asciiTheme="minorHAnsi" w:hAnsiTheme="minorHAnsi"/>
          <w:lang w:val="nl-NL"/>
        </w:rPr>
        <w:t xml:space="preserve">het werkkapitaal bij het begin van het boekjaar (rubriek </w:t>
      </w:r>
      <w:r w:rsidR="00AE56B6">
        <w:rPr>
          <w:rFonts w:asciiTheme="minorHAnsi" w:hAnsiTheme="minorHAnsi"/>
          <w:lang w:val="nl-NL"/>
        </w:rPr>
        <w:t xml:space="preserve">XXVI.A) overeenstemt met het werkkapitaal bij het einde van het vorige boekjaar </w:t>
      </w:r>
      <w:r w:rsidR="002616C2">
        <w:rPr>
          <w:rFonts w:asciiTheme="minorHAnsi" w:hAnsiTheme="minorHAnsi"/>
          <w:lang w:val="nl-NL"/>
        </w:rPr>
        <w:t xml:space="preserve">(code 70/69) </w:t>
      </w:r>
      <w:r w:rsidR="00AE56B6">
        <w:rPr>
          <w:rFonts w:asciiTheme="minorHAnsi" w:hAnsiTheme="minorHAnsi"/>
          <w:lang w:val="nl-NL"/>
        </w:rPr>
        <w:t xml:space="preserve">dat vermeld wordt in de kolom </w:t>
      </w:r>
      <w:r w:rsidR="0079646B">
        <w:rPr>
          <w:rFonts w:asciiTheme="minorHAnsi" w:hAnsiTheme="minorHAnsi"/>
          <w:lang w:val="nl-NL"/>
        </w:rPr>
        <w:t xml:space="preserve">‘jaar N-1’. Deze controle gebeurt globaal voor het geheel van de diensten van de aanvullende verzekering en het administratief centrum (code 98/02). </w:t>
      </w:r>
      <w:r w:rsidR="0079646B">
        <w:rPr>
          <w:rFonts w:asciiTheme="minorHAnsi" w:hAnsiTheme="minorHAnsi"/>
          <w:lang w:val="nl-NL"/>
        </w:rPr>
        <w:tab/>
      </w:r>
      <w:r w:rsidR="0079646B">
        <w:rPr>
          <w:rFonts w:asciiTheme="minorHAnsi" w:hAnsiTheme="minorHAnsi"/>
          <w:lang w:val="nl-NL"/>
        </w:rPr>
        <w:br/>
        <w:t xml:space="preserve">Het is de bedoeling dat deze overeenstemming ook geldt voor elke dienstcode afzonderlijk, hetgeen de Controledienst </w:t>
      </w:r>
      <w:r w:rsidR="002616C2">
        <w:rPr>
          <w:rFonts w:asciiTheme="minorHAnsi" w:hAnsiTheme="minorHAnsi"/>
          <w:lang w:val="nl-NL"/>
        </w:rPr>
        <w:t xml:space="preserve">bij ontvangst van de jaarrekeningen </w:t>
      </w:r>
      <w:r w:rsidR="004372DB">
        <w:rPr>
          <w:rFonts w:asciiTheme="minorHAnsi" w:hAnsiTheme="minorHAnsi"/>
          <w:lang w:val="nl-NL"/>
        </w:rPr>
        <w:t>zal nagaan door afstemming met de jaarrekening van het vorige boekjaar</w:t>
      </w:r>
      <w:r w:rsidR="0079646B">
        <w:rPr>
          <w:rFonts w:asciiTheme="minorHAnsi" w:hAnsiTheme="minorHAnsi"/>
          <w:lang w:val="nl-NL"/>
        </w:rPr>
        <w:t xml:space="preserve">. </w:t>
      </w:r>
    </w:p>
    <w:p w14:paraId="30A83447" w14:textId="77777777" w:rsidR="00EB42BA" w:rsidRPr="00154DF6" w:rsidRDefault="00EB42BA">
      <w:pPr>
        <w:rPr>
          <w:rFonts w:asciiTheme="minorHAnsi" w:hAnsiTheme="minorHAnsi"/>
          <w:lang w:val="nl-NL"/>
        </w:rPr>
      </w:pPr>
    </w:p>
    <w:p w14:paraId="3FEA56C5" w14:textId="77777777" w:rsidR="00EB42BA" w:rsidRPr="00154DF6" w:rsidRDefault="00EB42BA">
      <w:pPr>
        <w:rPr>
          <w:rFonts w:asciiTheme="minorHAnsi" w:hAnsiTheme="minorHAnsi"/>
          <w:lang w:val="nl-NL"/>
        </w:rPr>
      </w:pPr>
    </w:p>
    <w:p w14:paraId="1C0F8847" w14:textId="77777777" w:rsidR="00EB42BA" w:rsidRPr="00154DF6" w:rsidRDefault="00EB42BA">
      <w:pPr>
        <w:rPr>
          <w:rFonts w:asciiTheme="minorHAnsi" w:hAnsiTheme="minorHAnsi"/>
          <w:b/>
          <w:u w:val="single"/>
          <w:lang w:val="nl-NL"/>
        </w:rPr>
      </w:pPr>
      <w:r w:rsidRPr="00154DF6">
        <w:rPr>
          <w:rFonts w:asciiTheme="minorHAnsi" w:hAnsiTheme="minorHAnsi"/>
          <w:b/>
          <w:u w:val="single"/>
          <w:lang w:val="nl-NL"/>
        </w:rPr>
        <w:t>Module statistieken</w:t>
      </w:r>
    </w:p>
    <w:p w14:paraId="1AEBD4ED" w14:textId="77777777" w:rsidR="00EB42BA" w:rsidRPr="00154DF6" w:rsidRDefault="00EB42BA">
      <w:pPr>
        <w:rPr>
          <w:rFonts w:asciiTheme="minorHAnsi" w:hAnsiTheme="minorHAnsi"/>
          <w:lang w:val="nl-NL"/>
        </w:rPr>
      </w:pPr>
    </w:p>
    <w:p w14:paraId="6454465C" w14:textId="77777777" w:rsidR="00A74CED" w:rsidRPr="00154DF6" w:rsidRDefault="00A74CED" w:rsidP="00A74CED">
      <w:pPr>
        <w:numPr>
          <w:ilvl w:val="0"/>
          <w:numId w:val="2"/>
        </w:numPr>
        <w:spacing w:after="120"/>
        <w:rPr>
          <w:rFonts w:asciiTheme="minorHAnsi" w:hAnsiTheme="minorHAnsi"/>
          <w:lang w:val="nl-NL"/>
        </w:rPr>
      </w:pPr>
      <w:r w:rsidRPr="00154DF6">
        <w:rPr>
          <w:rFonts w:asciiTheme="minorHAnsi" w:hAnsiTheme="minorHAnsi"/>
          <w:lang w:val="nl-NL"/>
        </w:rPr>
        <w:t>Statistiek ‘Voorhuwelijkssparen’:</w:t>
      </w:r>
    </w:p>
    <w:p w14:paraId="101C3574" w14:textId="77777777" w:rsidR="00A74CED" w:rsidRPr="00154DF6" w:rsidRDefault="00300BAB" w:rsidP="00E007C4">
      <w:pPr>
        <w:numPr>
          <w:ilvl w:val="0"/>
          <w:numId w:val="3"/>
        </w:numPr>
        <w:spacing w:after="120"/>
        <w:rPr>
          <w:rFonts w:asciiTheme="minorHAnsi" w:hAnsiTheme="minorHAnsi"/>
          <w:lang w:val="nl-NL"/>
        </w:rPr>
      </w:pPr>
      <w:r w:rsidRPr="00154DF6">
        <w:rPr>
          <w:rFonts w:asciiTheme="minorHAnsi" w:hAnsiTheme="minorHAnsi"/>
          <w:lang w:val="nl-NL"/>
        </w:rPr>
        <w:t>h</w:t>
      </w:r>
      <w:r w:rsidR="00E007C4" w:rsidRPr="00154DF6">
        <w:rPr>
          <w:rFonts w:asciiTheme="minorHAnsi" w:hAnsiTheme="minorHAnsi"/>
          <w:lang w:val="nl-NL"/>
        </w:rPr>
        <w:t>et aantal spaarders op 31 december is niet negatief;</w:t>
      </w:r>
    </w:p>
    <w:p w14:paraId="253B6A8D" w14:textId="77777777" w:rsidR="00E007C4" w:rsidRPr="00154DF6" w:rsidRDefault="00E007C4" w:rsidP="00E007C4">
      <w:pPr>
        <w:numPr>
          <w:ilvl w:val="0"/>
          <w:numId w:val="3"/>
        </w:numPr>
        <w:spacing w:after="120"/>
        <w:rPr>
          <w:rFonts w:asciiTheme="minorHAnsi" w:hAnsiTheme="minorHAnsi"/>
          <w:lang w:val="nl-NL"/>
        </w:rPr>
      </w:pPr>
      <w:r w:rsidRPr="00154DF6">
        <w:rPr>
          <w:rFonts w:asciiTheme="minorHAnsi" w:hAnsiTheme="minorHAnsi"/>
          <w:lang w:val="nl-NL"/>
        </w:rPr>
        <w:t>in de statistiek 561 zijn alle spaarders die in het jaar X uittreden wegens het bereiken van de leeftijd van 30 jaar, geboren in het jaar X-30.</w:t>
      </w:r>
    </w:p>
    <w:p w14:paraId="73735AAB" w14:textId="77777777" w:rsidR="000F1B3D" w:rsidRPr="00154DF6" w:rsidRDefault="000F1B3D">
      <w:pPr>
        <w:numPr>
          <w:ilvl w:val="0"/>
          <w:numId w:val="2"/>
        </w:numPr>
        <w:spacing w:after="120"/>
        <w:rPr>
          <w:rFonts w:asciiTheme="minorHAnsi" w:hAnsiTheme="minorHAnsi"/>
          <w:lang w:val="nl-NL"/>
        </w:rPr>
      </w:pPr>
      <w:r w:rsidRPr="00154DF6">
        <w:rPr>
          <w:rFonts w:asciiTheme="minorHAnsi" w:hAnsiTheme="minorHAnsi"/>
          <w:lang w:val="nl-NL"/>
        </w:rPr>
        <w:t xml:space="preserve">Statistiek </w:t>
      </w:r>
      <w:r w:rsidR="00EB42BA" w:rsidRPr="00154DF6">
        <w:rPr>
          <w:rFonts w:asciiTheme="minorHAnsi" w:hAnsiTheme="minorHAnsi"/>
          <w:lang w:val="nl-NL"/>
        </w:rPr>
        <w:t>‘</w:t>
      </w:r>
      <w:r w:rsidR="00A74CED" w:rsidRPr="00154DF6">
        <w:rPr>
          <w:rFonts w:asciiTheme="minorHAnsi" w:hAnsiTheme="minorHAnsi"/>
          <w:lang w:val="nl-NL"/>
        </w:rPr>
        <w:t>Ledentallen AV’</w:t>
      </w:r>
      <w:r w:rsidRPr="00154DF6">
        <w:rPr>
          <w:rFonts w:asciiTheme="minorHAnsi" w:hAnsiTheme="minorHAnsi"/>
          <w:lang w:val="nl-NL"/>
        </w:rPr>
        <w:t>:</w:t>
      </w:r>
    </w:p>
    <w:p w14:paraId="2B6A3BD9" w14:textId="77777777" w:rsidR="00613E4F" w:rsidRPr="00154DF6" w:rsidRDefault="000F1B3D" w:rsidP="000F1B3D">
      <w:pPr>
        <w:numPr>
          <w:ilvl w:val="0"/>
          <w:numId w:val="3"/>
        </w:numPr>
        <w:spacing w:after="120"/>
        <w:rPr>
          <w:rFonts w:asciiTheme="minorHAnsi" w:hAnsiTheme="minorHAnsi"/>
          <w:lang w:val="nl-NL"/>
        </w:rPr>
      </w:pPr>
      <w:r w:rsidRPr="00154DF6">
        <w:rPr>
          <w:rFonts w:asciiTheme="minorHAnsi" w:hAnsiTheme="minorHAnsi"/>
          <w:lang w:val="nl-NL"/>
        </w:rPr>
        <w:t xml:space="preserve">het aantal mutualistische gezinnen zonder personen ten laste </w:t>
      </w:r>
      <w:r w:rsidR="00F85F73" w:rsidRPr="00154DF6">
        <w:rPr>
          <w:rFonts w:asciiTheme="minorHAnsi" w:hAnsiTheme="minorHAnsi"/>
          <w:lang w:val="nl-NL"/>
        </w:rPr>
        <w:t xml:space="preserve">is normaliter </w:t>
      </w:r>
      <w:r w:rsidRPr="00154DF6">
        <w:rPr>
          <w:rFonts w:asciiTheme="minorHAnsi" w:hAnsiTheme="minorHAnsi"/>
          <w:lang w:val="nl-NL"/>
        </w:rPr>
        <w:t>hoger is dan het aantal mutualistische gezinnen met personen ten laste</w:t>
      </w:r>
      <w:r w:rsidR="00613E4F" w:rsidRPr="00154DF6">
        <w:rPr>
          <w:rFonts w:asciiTheme="minorHAnsi" w:hAnsiTheme="minorHAnsi"/>
          <w:lang w:val="nl-NL"/>
        </w:rPr>
        <w:t>;</w:t>
      </w:r>
    </w:p>
    <w:p w14:paraId="2586B2B3" w14:textId="77777777" w:rsidR="00613E4F" w:rsidRPr="00154DF6" w:rsidRDefault="00613E4F" w:rsidP="000F1B3D">
      <w:pPr>
        <w:numPr>
          <w:ilvl w:val="0"/>
          <w:numId w:val="3"/>
        </w:numPr>
        <w:spacing w:after="120"/>
        <w:rPr>
          <w:rFonts w:asciiTheme="minorHAnsi" w:hAnsiTheme="minorHAnsi"/>
          <w:lang w:val="nl-NL"/>
        </w:rPr>
      </w:pPr>
      <w:r w:rsidRPr="00154DF6">
        <w:rPr>
          <w:rFonts w:asciiTheme="minorHAnsi" w:hAnsiTheme="minorHAnsi"/>
          <w:lang w:val="nl-NL"/>
        </w:rPr>
        <w:t>h</w:t>
      </w:r>
      <w:r w:rsidR="000F1B3D" w:rsidRPr="00154DF6">
        <w:rPr>
          <w:rFonts w:asciiTheme="minorHAnsi" w:hAnsiTheme="minorHAnsi"/>
          <w:lang w:val="nl-NL"/>
        </w:rPr>
        <w:t xml:space="preserve">et aantal </w:t>
      </w:r>
      <w:r w:rsidRPr="00154DF6">
        <w:rPr>
          <w:rFonts w:asciiTheme="minorHAnsi" w:hAnsiTheme="minorHAnsi"/>
          <w:lang w:val="nl-NL"/>
        </w:rPr>
        <w:t xml:space="preserve">mutualistische gezinnen met </w:t>
      </w:r>
      <w:r w:rsidR="00F85F73" w:rsidRPr="00154DF6">
        <w:rPr>
          <w:rFonts w:asciiTheme="minorHAnsi" w:hAnsiTheme="minorHAnsi"/>
          <w:lang w:val="nl-NL"/>
        </w:rPr>
        <w:t>een verminderde bijdrage is normaliter</w:t>
      </w:r>
      <w:r w:rsidRPr="00154DF6">
        <w:rPr>
          <w:rFonts w:asciiTheme="minorHAnsi" w:hAnsiTheme="minorHAnsi"/>
          <w:lang w:val="nl-NL"/>
        </w:rPr>
        <w:t xml:space="preserve"> lager dan het aantal andere mutualistische gezinnen;</w:t>
      </w:r>
    </w:p>
    <w:p w14:paraId="3B823FB7" w14:textId="77777777" w:rsidR="001F23CE" w:rsidRPr="00154DF6" w:rsidRDefault="00F85F73" w:rsidP="000F1B3D">
      <w:pPr>
        <w:numPr>
          <w:ilvl w:val="0"/>
          <w:numId w:val="3"/>
        </w:numPr>
        <w:spacing w:after="120"/>
        <w:rPr>
          <w:rFonts w:asciiTheme="minorHAnsi" w:hAnsiTheme="minorHAnsi"/>
          <w:lang w:val="nl-NL"/>
        </w:rPr>
      </w:pPr>
      <w:r w:rsidRPr="00154DF6">
        <w:rPr>
          <w:rFonts w:asciiTheme="minorHAnsi" w:hAnsiTheme="minorHAnsi"/>
          <w:lang w:val="nl-NL"/>
        </w:rPr>
        <w:t>er</w:t>
      </w:r>
      <w:r w:rsidR="000F1B3D" w:rsidRPr="00154DF6">
        <w:rPr>
          <w:rFonts w:asciiTheme="minorHAnsi" w:hAnsiTheme="minorHAnsi"/>
          <w:lang w:val="nl-NL"/>
        </w:rPr>
        <w:t xml:space="preserve"> mogen enkel mutualistische gezinnen met </w:t>
      </w:r>
      <w:r w:rsidRPr="00154DF6">
        <w:rPr>
          <w:rFonts w:asciiTheme="minorHAnsi" w:hAnsiTheme="minorHAnsi"/>
          <w:lang w:val="nl-NL"/>
        </w:rPr>
        <w:t xml:space="preserve">een </w:t>
      </w:r>
      <w:r w:rsidR="000F1B3D" w:rsidRPr="00154DF6">
        <w:rPr>
          <w:rFonts w:asciiTheme="minorHAnsi" w:hAnsiTheme="minorHAnsi"/>
          <w:lang w:val="nl-NL"/>
        </w:rPr>
        <w:t xml:space="preserve">verminderde bijdrage worden opgegeven indien een dergelijke </w:t>
      </w:r>
      <w:r w:rsidRPr="00154DF6">
        <w:rPr>
          <w:rFonts w:asciiTheme="minorHAnsi" w:hAnsiTheme="minorHAnsi"/>
          <w:lang w:val="nl-NL"/>
        </w:rPr>
        <w:t xml:space="preserve">ledencategorie </w:t>
      </w:r>
      <w:r w:rsidR="000F1B3D" w:rsidRPr="00154DF6">
        <w:rPr>
          <w:rFonts w:asciiTheme="minorHAnsi" w:hAnsiTheme="minorHAnsi"/>
          <w:lang w:val="nl-NL"/>
        </w:rPr>
        <w:t xml:space="preserve">voorzien </w:t>
      </w:r>
      <w:r w:rsidRPr="00154DF6">
        <w:rPr>
          <w:rFonts w:asciiTheme="minorHAnsi" w:hAnsiTheme="minorHAnsi"/>
          <w:lang w:val="nl-NL"/>
        </w:rPr>
        <w:t>is in de bijdragetabel (</w:t>
      </w:r>
      <w:proofErr w:type="spellStart"/>
      <w:r w:rsidRPr="00154DF6">
        <w:rPr>
          <w:rFonts w:asciiTheme="minorHAnsi" w:hAnsiTheme="minorHAnsi"/>
          <w:lang w:val="nl-NL"/>
        </w:rPr>
        <w:t>Etac</w:t>
      </w:r>
      <w:proofErr w:type="spellEnd"/>
      <w:r w:rsidRPr="00154DF6">
        <w:rPr>
          <w:rFonts w:asciiTheme="minorHAnsi" w:hAnsiTheme="minorHAnsi"/>
          <w:lang w:val="nl-NL"/>
        </w:rPr>
        <w:t>);</w:t>
      </w:r>
    </w:p>
    <w:p w14:paraId="0ED31C49" w14:textId="77777777" w:rsidR="00F85F73" w:rsidRPr="00154DF6" w:rsidRDefault="00F85F73" w:rsidP="000F1B3D">
      <w:pPr>
        <w:numPr>
          <w:ilvl w:val="0"/>
          <w:numId w:val="3"/>
        </w:numPr>
        <w:spacing w:after="120"/>
        <w:rPr>
          <w:rFonts w:asciiTheme="minorHAnsi" w:hAnsiTheme="minorHAnsi"/>
          <w:lang w:val="nl-NL"/>
        </w:rPr>
      </w:pPr>
      <w:r w:rsidRPr="00154DF6">
        <w:rPr>
          <w:rFonts w:asciiTheme="minorHAnsi" w:hAnsiTheme="minorHAnsi"/>
          <w:lang w:val="nl-NL"/>
        </w:rPr>
        <w:t xml:space="preserve">het aantal mutualistische gezinnen </w:t>
      </w:r>
      <w:r w:rsidR="00951E72" w:rsidRPr="00154DF6">
        <w:rPr>
          <w:rFonts w:asciiTheme="minorHAnsi" w:hAnsiTheme="minorHAnsi"/>
          <w:lang w:val="nl-NL"/>
        </w:rPr>
        <w:t xml:space="preserve">ligt per categorie </w:t>
      </w:r>
      <w:r w:rsidRPr="00154DF6">
        <w:rPr>
          <w:rFonts w:asciiTheme="minorHAnsi" w:hAnsiTheme="minorHAnsi"/>
          <w:lang w:val="nl-NL"/>
        </w:rPr>
        <w:t xml:space="preserve">in </w:t>
      </w:r>
      <w:r w:rsidR="00951E72" w:rsidRPr="00154DF6">
        <w:rPr>
          <w:rFonts w:asciiTheme="minorHAnsi" w:hAnsiTheme="minorHAnsi"/>
          <w:lang w:val="nl-NL"/>
        </w:rPr>
        <w:t xml:space="preserve">dezelfde </w:t>
      </w:r>
      <w:r w:rsidRPr="00154DF6">
        <w:rPr>
          <w:rFonts w:asciiTheme="minorHAnsi" w:hAnsiTheme="minorHAnsi"/>
          <w:lang w:val="nl-NL"/>
        </w:rPr>
        <w:t xml:space="preserve">orde van grootte </w:t>
      </w:r>
      <w:r w:rsidR="00951E72" w:rsidRPr="00154DF6">
        <w:rPr>
          <w:rFonts w:asciiTheme="minorHAnsi" w:hAnsiTheme="minorHAnsi"/>
          <w:lang w:val="nl-NL"/>
        </w:rPr>
        <w:t xml:space="preserve">als het </w:t>
      </w:r>
      <w:r w:rsidRPr="00154DF6">
        <w:rPr>
          <w:rFonts w:asciiTheme="minorHAnsi" w:hAnsiTheme="minorHAnsi"/>
          <w:lang w:val="nl-NL"/>
        </w:rPr>
        <w:t xml:space="preserve">aantal </w:t>
      </w:r>
      <w:r w:rsidR="00951E72" w:rsidRPr="00154DF6">
        <w:rPr>
          <w:rFonts w:asciiTheme="minorHAnsi" w:hAnsiTheme="minorHAnsi"/>
          <w:lang w:val="nl-NL"/>
        </w:rPr>
        <w:t>mutualistische gezinnen op 31 december van het vorig boekjaar</w:t>
      </w:r>
      <w:r w:rsidR="00827CDC">
        <w:rPr>
          <w:rFonts w:asciiTheme="minorHAnsi" w:hAnsiTheme="minorHAnsi"/>
          <w:lang w:val="nl-NL"/>
        </w:rPr>
        <w:t xml:space="preserve"> (</w:t>
      </w:r>
      <w:bookmarkStart w:id="0" w:name="_Hlk70346715"/>
      <w:r w:rsidR="00827CDC">
        <w:rPr>
          <w:rFonts w:asciiTheme="minorHAnsi" w:hAnsiTheme="minorHAnsi"/>
          <w:lang w:val="nl-NL"/>
        </w:rPr>
        <w:t>in geval van fusie te beoordelen door het totaal te maken van de ledenaantallen van de fuserende ziekenfondsen)</w:t>
      </w:r>
      <w:bookmarkEnd w:id="0"/>
      <w:r w:rsidR="00951E72" w:rsidRPr="00154DF6">
        <w:rPr>
          <w:rFonts w:asciiTheme="minorHAnsi" w:hAnsiTheme="minorHAnsi"/>
          <w:lang w:val="nl-NL"/>
        </w:rPr>
        <w:t>;</w:t>
      </w:r>
    </w:p>
    <w:p w14:paraId="53F0D6F6" w14:textId="77777777" w:rsidR="00EB42BA" w:rsidRPr="00154DF6" w:rsidRDefault="00EB42BA" w:rsidP="00EB42BA">
      <w:pPr>
        <w:numPr>
          <w:ilvl w:val="0"/>
          <w:numId w:val="2"/>
        </w:numPr>
        <w:spacing w:after="120"/>
        <w:rPr>
          <w:rFonts w:asciiTheme="minorHAnsi" w:hAnsiTheme="minorHAnsi"/>
          <w:lang w:val="nl-NL"/>
        </w:rPr>
      </w:pPr>
      <w:r w:rsidRPr="00154DF6">
        <w:rPr>
          <w:rFonts w:asciiTheme="minorHAnsi" w:hAnsiTheme="minorHAnsi"/>
          <w:lang w:val="nl-NL"/>
        </w:rPr>
        <w:t>Statistiek ‘</w:t>
      </w:r>
      <w:r w:rsidR="00A74CED" w:rsidRPr="00154DF6">
        <w:rPr>
          <w:rFonts w:asciiTheme="minorHAnsi" w:hAnsiTheme="minorHAnsi"/>
          <w:lang w:val="nl-NL"/>
        </w:rPr>
        <w:t>Z</w:t>
      </w:r>
      <w:r w:rsidRPr="00154DF6">
        <w:rPr>
          <w:rFonts w:asciiTheme="minorHAnsi" w:hAnsiTheme="minorHAnsi"/>
          <w:lang w:val="nl-NL"/>
        </w:rPr>
        <w:t>orgverzekering’:</w:t>
      </w:r>
    </w:p>
    <w:p w14:paraId="59738F48" w14:textId="77777777" w:rsidR="00C13968" w:rsidRPr="00154DF6" w:rsidRDefault="00C13968" w:rsidP="00C13968">
      <w:pPr>
        <w:numPr>
          <w:ilvl w:val="0"/>
          <w:numId w:val="3"/>
        </w:numPr>
        <w:spacing w:after="120"/>
        <w:rPr>
          <w:rFonts w:asciiTheme="minorHAnsi" w:hAnsiTheme="minorHAnsi"/>
          <w:lang w:val="nl-NL"/>
        </w:rPr>
      </w:pPr>
      <w:r w:rsidRPr="00154DF6">
        <w:rPr>
          <w:rFonts w:asciiTheme="minorHAnsi" w:hAnsiTheme="minorHAnsi"/>
          <w:lang w:val="nl-NL"/>
        </w:rPr>
        <w:t>het aantal leden zonder voorkeurregeling is normaliter hoger dan het aantal leden met voorkeurregelin</w:t>
      </w:r>
      <w:r w:rsidR="004F2E37" w:rsidRPr="00154DF6">
        <w:rPr>
          <w:rFonts w:asciiTheme="minorHAnsi" w:hAnsiTheme="minorHAnsi"/>
          <w:lang w:val="nl-NL"/>
        </w:rPr>
        <w:t>g;</w:t>
      </w:r>
    </w:p>
    <w:p w14:paraId="414C96EC" w14:textId="77777777" w:rsidR="00C13968" w:rsidRPr="00154DF6" w:rsidRDefault="00C13968" w:rsidP="00C13968">
      <w:pPr>
        <w:numPr>
          <w:ilvl w:val="0"/>
          <w:numId w:val="3"/>
        </w:numPr>
        <w:spacing w:after="120"/>
        <w:rPr>
          <w:rFonts w:asciiTheme="minorHAnsi" w:hAnsiTheme="minorHAnsi"/>
          <w:lang w:val="nl-NL"/>
        </w:rPr>
      </w:pPr>
      <w:r w:rsidRPr="00154DF6">
        <w:rPr>
          <w:rFonts w:asciiTheme="minorHAnsi" w:hAnsiTheme="minorHAnsi"/>
          <w:lang w:val="nl-NL"/>
        </w:rPr>
        <w:t xml:space="preserve">het aantal leden ligt in dezelfde orde van grootte als het aantal leden op 31 </w:t>
      </w:r>
      <w:r w:rsidR="004F2E37" w:rsidRPr="00154DF6">
        <w:rPr>
          <w:rFonts w:asciiTheme="minorHAnsi" w:hAnsiTheme="minorHAnsi"/>
          <w:lang w:val="nl-NL"/>
        </w:rPr>
        <w:t>december van het vorig boekjaar.</w:t>
      </w:r>
    </w:p>
    <w:sectPr w:rsidR="00C13968" w:rsidRPr="00154DF6" w:rsidSect="00595733">
      <w:headerReference w:type="even" r:id="rId7"/>
      <w:headerReference w:type="default" r:id="rId8"/>
      <w:pgSz w:w="11907" w:h="16840" w:code="9"/>
      <w:pgMar w:top="709" w:right="1418" w:bottom="1134" w:left="1418" w:header="720" w:footer="720" w:gutter="0"/>
      <w:paperSrc w:first="265" w:other="26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2C02D" w14:textId="77777777" w:rsidR="00DF1DA8" w:rsidRDefault="00DF1DA8">
      <w:r>
        <w:separator/>
      </w:r>
    </w:p>
  </w:endnote>
  <w:endnote w:type="continuationSeparator" w:id="0">
    <w:p w14:paraId="63419FE6" w14:textId="77777777" w:rsidR="00DF1DA8" w:rsidRDefault="00DF1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6A670" w14:textId="77777777" w:rsidR="00DF1DA8" w:rsidRDefault="00DF1DA8">
      <w:r>
        <w:separator/>
      </w:r>
    </w:p>
  </w:footnote>
  <w:footnote w:type="continuationSeparator" w:id="0">
    <w:p w14:paraId="57841660" w14:textId="77777777" w:rsidR="00DF1DA8" w:rsidRDefault="00DF1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178BD" w14:textId="77777777" w:rsidR="00462714" w:rsidRDefault="00462714">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0141A363" w14:textId="77777777" w:rsidR="00462714" w:rsidRDefault="00462714">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781B4" w14:textId="77777777" w:rsidR="00462714" w:rsidRDefault="00462714">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12E8F">
      <w:rPr>
        <w:rStyle w:val="Paginanummer"/>
        <w:noProof/>
      </w:rPr>
      <w:t>2</w:t>
    </w:r>
    <w:r>
      <w:rPr>
        <w:rStyle w:val="Paginanummer"/>
      </w:rPr>
      <w:fldChar w:fldCharType="end"/>
    </w:r>
    <w:r>
      <w:rPr>
        <w:rStyle w:val="Paginanummer"/>
      </w:rPr>
      <w:t>.-</w:t>
    </w:r>
  </w:p>
  <w:p w14:paraId="01B7A3F2" w14:textId="77777777" w:rsidR="00462714" w:rsidRDefault="00462714">
    <w:pPr>
      <w:pStyle w:val="Ko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21F38"/>
    <w:multiLevelType w:val="hybridMultilevel"/>
    <w:tmpl w:val="1EDE9614"/>
    <w:lvl w:ilvl="0" w:tplc="4E8811BE">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B8E1D82"/>
    <w:multiLevelType w:val="singleLevel"/>
    <w:tmpl w:val="0413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D541BB7"/>
    <w:multiLevelType w:val="hybridMultilevel"/>
    <w:tmpl w:val="B79E9874"/>
    <w:lvl w:ilvl="0" w:tplc="C9100BC4">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F32E16"/>
    <w:multiLevelType w:val="singleLevel"/>
    <w:tmpl w:val="FFFFFFFF"/>
    <w:lvl w:ilvl="0">
      <w:start w:val="1"/>
      <w:numFmt w:val="bullet"/>
      <w:lvlText w:val=""/>
      <w:legacy w:legacy="1" w:legacySpace="0" w:legacyIndent="283"/>
      <w:lvlJc w:val="left"/>
      <w:pPr>
        <w:ind w:left="1135" w:hanging="283"/>
      </w:pPr>
      <w:rPr>
        <w:rFonts w:ascii="Symbol" w:hAnsi="Symbol" w:hint="default"/>
      </w:rPr>
    </w:lvl>
  </w:abstractNum>
  <w:num w:numId="1" w16cid:durableId="658849811">
    <w:abstractNumId w:val="3"/>
  </w:num>
  <w:num w:numId="2" w16cid:durableId="1134324812">
    <w:abstractNumId w:val="1"/>
  </w:num>
  <w:num w:numId="3" w16cid:durableId="1729307427">
    <w:abstractNumId w:val="2"/>
  </w:num>
  <w:num w:numId="4" w16cid:durableId="1663511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425"/>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4F3"/>
    <w:rsid w:val="00003C1E"/>
    <w:rsid w:val="00085C00"/>
    <w:rsid w:val="000B5FD4"/>
    <w:rsid w:val="000C556E"/>
    <w:rsid w:val="000F1B3D"/>
    <w:rsid w:val="001074FF"/>
    <w:rsid w:val="00123777"/>
    <w:rsid w:val="00154DF6"/>
    <w:rsid w:val="001A7DE0"/>
    <w:rsid w:val="001D7257"/>
    <w:rsid w:val="001F23CE"/>
    <w:rsid w:val="0025644F"/>
    <w:rsid w:val="002616C2"/>
    <w:rsid w:val="002F6B41"/>
    <w:rsid w:val="00300BAB"/>
    <w:rsid w:val="0030208B"/>
    <w:rsid w:val="003267BA"/>
    <w:rsid w:val="0035067B"/>
    <w:rsid w:val="0038747E"/>
    <w:rsid w:val="003D1732"/>
    <w:rsid w:val="004372DB"/>
    <w:rsid w:val="004572E7"/>
    <w:rsid w:val="00462714"/>
    <w:rsid w:val="004F2E37"/>
    <w:rsid w:val="00524CF0"/>
    <w:rsid w:val="005370A3"/>
    <w:rsid w:val="00563EE9"/>
    <w:rsid w:val="00595733"/>
    <w:rsid w:val="005A14C9"/>
    <w:rsid w:val="005F334B"/>
    <w:rsid w:val="00613E4F"/>
    <w:rsid w:val="00622E34"/>
    <w:rsid w:val="00633C5D"/>
    <w:rsid w:val="0063562B"/>
    <w:rsid w:val="006A7FE7"/>
    <w:rsid w:val="006F7D98"/>
    <w:rsid w:val="00700C00"/>
    <w:rsid w:val="00712E8F"/>
    <w:rsid w:val="007466DB"/>
    <w:rsid w:val="00751ABB"/>
    <w:rsid w:val="007748B3"/>
    <w:rsid w:val="007757B5"/>
    <w:rsid w:val="00775C26"/>
    <w:rsid w:val="0079646B"/>
    <w:rsid w:val="007D2EE8"/>
    <w:rsid w:val="00827CDC"/>
    <w:rsid w:val="008529D1"/>
    <w:rsid w:val="00857301"/>
    <w:rsid w:val="0089657F"/>
    <w:rsid w:val="00951E72"/>
    <w:rsid w:val="00990758"/>
    <w:rsid w:val="00990AE0"/>
    <w:rsid w:val="00993AB4"/>
    <w:rsid w:val="00A003D1"/>
    <w:rsid w:val="00A171CB"/>
    <w:rsid w:val="00A74CED"/>
    <w:rsid w:val="00AE56B6"/>
    <w:rsid w:val="00B6367D"/>
    <w:rsid w:val="00B70E0F"/>
    <w:rsid w:val="00BA494B"/>
    <w:rsid w:val="00BA4B70"/>
    <w:rsid w:val="00C13968"/>
    <w:rsid w:val="00C75C39"/>
    <w:rsid w:val="00DC5416"/>
    <w:rsid w:val="00DD0949"/>
    <w:rsid w:val="00DF1DA8"/>
    <w:rsid w:val="00E007C4"/>
    <w:rsid w:val="00E37E32"/>
    <w:rsid w:val="00E47E47"/>
    <w:rsid w:val="00EB42BA"/>
    <w:rsid w:val="00EB5CDB"/>
    <w:rsid w:val="00ED2982"/>
    <w:rsid w:val="00F06D70"/>
    <w:rsid w:val="00F277AC"/>
    <w:rsid w:val="00F536BB"/>
    <w:rsid w:val="00F804F3"/>
    <w:rsid w:val="00F83FD0"/>
    <w:rsid w:val="00F85F73"/>
    <w:rsid w:val="00F871F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7B6BA5"/>
  <w15:chartTrackingRefBased/>
  <w15:docId w15:val="{7395BADC-6292-40DC-BAFD-EF11622CD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jc w:val="both"/>
    </w:pPr>
    <w:rPr>
      <w:sz w:val="22"/>
      <w:lang w:eastAsia="en-US"/>
    </w:rPr>
  </w:style>
  <w:style w:type="paragraph" w:styleId="Kop1">
    <w:name w:val="heading 1"/>
    <w:basedOn w:val="Standaard"/>
    <w:next w:val="Standaard"/>
    <w:qFormat/>
    <w:pPr>
      <w:keepNext/>
      <w:spacing w:after="120"/>
      <w:outlineLvl w:val="0"/>
    </w:pPr>
    <w:rPr>
      <w:u w:val="single"/>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linea1stelijn25cm">
    <w:name w:val="Alinea 1ste lijn +2.5cm"/>
    <w:basedOn w:val="Standaard"/>
    <w:pPr>
      <w:ind w:firstLine="1418"/>
    </w:pPr>
  </w:style>
  <w:style w:type="paragraph" w:customStyle="1" w:styleId="Inspringen05cm">
    <w:name w:val="Inspringen 0.5 cm"/>
    <w:basedOn w:val="Standaar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ind w:left="284" w:hanging="284"/>
    </w:pPr>
  </w:style>
  <w:style w:type="paragraph" w:customStyle="1" w:styleId="Inspringen075cm">
    <w:name w:val="Inspringen 0.75cm"/>
    <w:basedOn w:val="Standaard"/>
    <w:pPr>
      <w:ind w:left="426" w:hanging="426"/>
    </w:pPr>
  </w:style>
  <w:style w:type="paragraph" w:customStyle="1" w:styleId="Inspringen1cm">
    <w:name w:val="Inspringen 1cm"/>
    <w:basedOn w:val="Inspringen075cm"/>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ind w:left="567" w:hanging="567"/>
    </w:pPr>
  </w:style>
  <w:style w:type="paragraph" w:styleId="Koptekst">
    <w:name w:val="header"/>
    <w:basedOn w:val="Standaard"/>
    <w:semiHidden/>
    <w:pPr>
      <w:tabs>
        <w:tab w:val="center" w:pos="4536"/>
        <w:tab w:val="right" w:pos="9072"/>
      </w:tabs>
    </w:pPr>
  </w:style>
  <w:style w:type="character" w:styleId="Paginanummer">
    <w:name w:val="page number"/>
    <w:basedOn w:val="Standaardalinea-lettertype"/>
    <w:semiHidden/>
  </w:style>
  <w:style w:type="paragraph" w:customStyle="1" w:styleId="Standaard05cmtabs">
    <w:name w:val="Standaard 0.5 cm tabs"/>
    <w:basedOn w:val="Standaar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pPr>
  </w:style>
  <w:style w:type="paragraph" w:customStyle="1" w:styleId="Standaard1cmtabs">
    <w:name w:val="Standaard 1cm tabs"/>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pPr>
  </w:style>
  <w:style w:type="paragraph" w:styleId="Voettekst">
    <w:name w:val="footer"/>
    <w:basedOn w:val="Standaard"/>
    <w:semiHidden/>
    <w:pPr>
      <w:tabs>
        <w:tab w:val="center" w:pos="4536"/>
        <w:tab w:val="right" w:pos="9072"/>
      </w:tabs>
    </w:pPr>
  </w:style>
  <w:style w:type="character" w:styleId="Voetnootmarkering">
    <w:name w:val="footnote reference"/>
    <w:semiHidden/>
    <w:rPr>
      <w:noProof w:val="0"/>
      <w:sz w:val="18"/>
      <w:vertAlign w:val="superscript"/>
      <w:lang w:val="nl-NL"/>
    </w:rPr>
  </w:style>
  <w:style w:type="paragraph" w:styleId="Ballontekst">
    <w:name w:val="Balloon Text"/>
    <w:basedOn w:val="Standaard"/>
    <w:link w:val="BallontekstChar"/>
    <w:uiPriority w:val="99"/>
    <w:semiHidden/>
    <w:unhideWhenUsed/>
    <w:rsid w:val="00595733"/>
    <w:rPr>
      <w:rFonts w:ascii="Tahoma" w:hAnsi="Tahoma" w:cs="Tahoma"/>
      <w:sz w:val="16"/>
      <w:szCs w:val="16"/>
    </w:rPr>
  </w:style>
  <w:style w:type="character" w:customStyle="1" w:styleId="BallontekstChar">
    <w:name w:val="Ballontekst Char"/>
    <w:link w:val="Ballontekst"/>
    <w:uiPriority w:val="99"/>
    <w:semiHidden/>
    <w:rsid w:val="00595733"/>
    <w:rPr>
      <w:rFonts w:ascii="Tahoma" w:hAnsi="Tahoma" w:cs="Tahoma"/>
      <w:sz w:val="16"/>
      <w:szCs w:val="16"/>
      <w:lang w:val="nl-BE"/>
    </w:rPr>
  </w:style>
  <w:style w:type="paragraph" w:styleId="Lijstalinea">
    <w:name w:val="List Paragraph"/>
    <w:basedOn w:val="Standaard"/>
    <w:uiPriority w:val="34"/>
    <w:qFormat/>
    <w:rsid w:val="00E007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778</Words>
  <Characters>4537</Characters>
  <Application>Microsoft Office Word</Application>
  <DocSecurity>0</DocSecurity>
  <Lines>37</Lines>
  <Paragraphs>10</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CHECHLIST JAARREKENING EN STATISTIEKEN – BOEKJAAR 1998 (EGUS)</vt:lpstr>
      <vt:lpstr>CHECHLIST JAARREKENING EN STATISTIEKEN – BOEKJAAR 1998 (EGUS)</vt:lpstr>
      <vt:lpstr>CHECHLIST JAARREKENING EN STATISTIEKEN – BOEKJAAR 1998 (EGUS)</vt:lpstr>
    </vt:vector>
  </TitlesOfParts>
  <Company>ocm-cdz</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CHECHLIST JAARREKENING EN STATISTIEKEN – BOEKJAAR 1998 (EGUS)</dc:title>
  <dc:subject/>
  <dc:creator>Vanmaele Franky</dc:creator>
  <cp:keywords/>
  <cp:lastModifiedBy>Robert Verschoren</cp:lastModifiedBy>
  <cp:revision>4</cp:revision>
  <cp:lastPrinted>2019-04-18T14:21:00Z</cp:lastPrinted>
  <dcterms:created xsi:type="dcterms:W3CDTF">2022-06-23T06:02:00Z</dcterms:created>
  <dcterms:modified xsi:type="dcterms:W3CDTF">2022-06-23T06:21:00Z</dcterms:modified>
</cp:coreProperties>
</file>